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DC" w:rsidRDefault="00B72EDC" w:rsidP="00B72EDC">
      <w:pPr>
        <w:jc w:val="left"/>
        <w:rPr>
          <w:rFonts w:ascii="Times New Roman" w:eastAsia="Arial Unicode MS" w:hAnsi="Times New Roman" w:cs="Times New Roman"/>
          <w:b/>
          <w:sz w:val="24"/>
          <w:szCs w:val="24"/>
          <w:u w:val="single"/>
        </w:rPr>
      </w:pPr>
      <w:bookmarkStart w:id="0" w:name="_GoBack"/>
      <w:bookmarkEnd w:id="0"/>
      <w:r>
        <w:rPr>
          <w:rFonts w:ascii="Times New Roman" w:eastAsia="Arial Unicode MS" w:hAnsi="Times New Roman" w:cs="Times New Roman" w:hint="eastAsia"/>
          <w:b/>
          <w:sz w:val="24"/>
          <w:szCs w:val="24"/>
          <w:u w:val="single"/>
        </w:rPr>
        <w:t>(Sample</w:t>
      </w:r>
      <w:r w:rsidR="004A388C">
        <w:rPr>
          <w:rFonts w:ascii="Times New Roman" w:eastAsia="Arial Unicode MS" w:hAnsi="Times New Roman" w:cs="Times New Roman"/>
          <w:b/>
          <w:sz w:val="24"/>
          <w:szCs w:val="24"/>
          <w:u w:val="single"/>
        </w:rPr>
        <w:t xml:space="preserve"> Form</w:t>
      </w:r>
      <w:r>
        <w:rPr>
          <w:rFonts w:ascii="Times New Roman" w:eastAsia="Arial Unicode MS" w:hAnsi="Times New Roman" w:cs="Times New Roman" w:hint="eastAsia"/>
          <w:b/>
          <w:sz w:val="24"/>
          <w:szCs w:val="24"/>
          <w:u w:val="single"/>
        </w:rPr>
        <w:t>)</w:t>
      </w:r>
    </w:p>
    <w:p w:rsidR="00F36957" w:rsidRPr="00C310CB" w:rsidRDefault="00B72EDC" w:rsidP="00F36957">
      <w:pPr>
        <w:jc w:val="center"/>
        <w:rPr>
          <w:rFonts w:ascii="Times New Roman" w:eastAsia="Arial Unicode MS" w:hAnsi="Times New Roman" w:cs="Times New Roman"/>
          <w:b/>
          <w:sz w:val="24"/>
          <w:szCs w:val="24"/>
          <w:u w:val="single"/>
        </w:rPr>
      </w:pPr>
      <w:r>
        <w:rPr>
          <w:rFonts w:ascii="Times New Roman" w:eastAsia="Arial Unicode MS" w:hAnsi="Times New Roman" w:cs="Times New Roman"/>
          <w:b/>
          <w:sz w:val="24"/>
          <w:szCs w:val="24"/>
          <w:u w:val="single"/>
        </w:rPr>
        <w:t xml:space="preserve">  </w:t>
      </w:r>
      <w:r w:rsidR="00E12FEA" w:rsidRPr="00C310CB">
        <w:rPr>
          <w:rFonts w:ascii="Times New Roman" w:eastAsia="Arial Unicode MS" w:hAnsi="Times New Roman" w:cs="Times New Roman"/>
          <w:b/>
          <w:sz w:val="24"/>
          <w:szCs w:val="24"/>
          <w:u w:val="single"/>
        </w:rPr>
        <w:t>R</w:t>
      </w:r>
      <w:r w:rsidR="00B24267">
        <w:rPr>
          <w:rFonts w:ascii="Times New Roman" w:eastAsia="Arial Unicode MS" w:hAnsi="Times New Roman" w:cs="Times New Roman"/>
          <w:b/>
          <w:sz w:val="24"/>
          <w:szCs w:val="24"/>
          <w:u w:val="single"/>
        </w:rPr>
        <w:t>EPRESENTATION OF ELIGIBILITY</w:t>
      </w:r>
      <w:r w:rsidR="004A171F" w:rsidRPr="00C310CB">
        <w:rPr>
          <w:rFonts w:ascii="Times New Roman" w:eastAsia="Arial Unicode MS" w:hAnsi="Times New Roman" w:cs="Times New Roman"/>
          <w:b/>
          <w:sz w:val="24"/>
          <w:szCs w:val="24"/>
          <w:u w:val="single"/>
        </w:rPr>
        <w:t xml:space="preserve"> </w:t>
      </w:r>
    </w:p>
    <w:p w:rsidR="00F36957" w:rsidRPr="00A60759" w:rsidRDefault="00F36957">
      <w:pPr>
        <w:rPr>
          <w:sz w:val="4"/>
          <w:szCs w:val="4"/>
        </w:rPr>
      </w:pPr>
    </w:p>
    <w:p w:rsidR="00A60759" w:rsidRDefault="00A60759">
      <w:pPr>
        <w:rPr>
          <w:rFonts w:ascii="Times New Roman" w:hAnsi="Times New Roman" w:cs="Times New Roman"/>
          <w:sz w:val="24"/>
          <w:szCs w:val="24"/>
        </w:rPr>
      </w:pPr>
      <w:r>
        <w:rPr>
          <w:rFonts w:ascii="Times New Roman" w:hAnsi="Times New Roman" w:cs="Times New Roman" w:hint="eastAsia"/>
          <w:sz w:val="24"/>
          <w:szCs w:val="24"/>
        </w:rPr>
        <w:t xml:space="preserve">This Form Should be completed by any entity in </w:t>
      </w:r>
      <w:r>
        <w:rPr>
          <w:rFonts w:ascii="Times New Roman" w:hAnsi="Times New Roman" w:cs="Times New Roman"/>
          <w:sz w:val="24"/>
          <w:szCs w:val="24"/>
        </w:rPr>
        <w:t>the</w:t>
      </w:r>
      <w:r>
        <w:rPr>
          <w:rFonts w:ascii="Times New Roman" w:hAnsi="Times New Roman" w:cs="Times New Roman" w:hint="eastAsia"/>
          <w:sz w:val="24"/>
          <w:szCs w:val="24"/>
        </w:rPr>
        <w:t xml:space="preserve"> </w:t>
      </w:r>
      <w:r>
        <w:rPr>
          <w:rFonts w:ascii="Times New Roman" w:hAnsi="Times New Roman" w:cs="Times New Roman"/>
          <w:sz w:val="24"/>
          <w:szCs w:val="24"/>
        </w:rPr>
        <w:t>U.S. wishing to transact business in Eligible Options on Korea Exchange (</w:t>
      </w:r>
      <w:r w:rsidR="001A4E98">
        <w:rPr>
          <w:rFonts w:ascii="Times New Roman" w:hAnsi="Times New Roman" w:cs="Times New Roman"/>
          <w:sz w:val="24"/>
          <w:szCs w:val="24"/>
        </w:rPr>
        <w:t>“</w:t>
      </w:r>
      <w:r>
        <w:rPr>
          <w:rFonts w:ascii="Times New Roman" w:hAnsi="Times New Roman" w:cs="Times New Roman"/>
          <w:sz w:val="24"/>
          <w:szCs w:val="24"/>
        </w:rPr>
        <w:t>KRX</w:t>
      </w:r>
      <w:r w:rsidR="001A4E98">
        <w:rPr>
          <w:rFonts w:ascii="Times New Roman" w:hAnsi="Times New Roman" w:cs="Times New Roman"/>
          <w:sz w:val="24"/>
          <w:szCs w:val="24"/>
        </w:rPr>
        <w:t>”</w:t>
      </w:r>
      <w:r>
        <w:rPr>
          <w:rFonts w:ascii="Times New Roman" w:hAnsi="Times New Roman" w:cs="Times New Roman"/>
          <w:sz w:val="24"/>
          <w:szCs w:val="24"/>
        </w:rPr>
        <w:t>) and provided to that entity’s KRX member. It contains representations as to the status of the entity in the U.S. as an Eligible Broker</w:t>
      </w:r>
      <w:r w:rsidR="00B24267">
        <w:rPr>
          <w:rFonts w:ascii="Times New Roman" w:hAnsi="Times New Roman" w:cs="Times New Roman"/>
          <w:sz w:val="24"/>
          <w:szCs w:val="24"/>
        </w:rPr>
        <w:t>-Dealer/Eligible Institution under the terms of the July 1, 2013 Class No-Action Letter issued by the US Securities and Exchange Commission</w:t>
      </w:r>
      <w:r w:rsidR="001A4E98">
        <w:rPr>
          <w:rFonts w:ascii="Times New Roman" w:hAnsi="Times New Roman" w:cs="Times New Roman"/>
          <w:sz w:val="24"/>
          <w:szCs w:val="24"/>
        </w:rPr>
        <w:t xml:space="preserve"> (“SEC”)</w:t>
      </w:r>
      <w:r w:rsidR="00B24267">
        <w:rPr>
          <w:rFonts w:ascii="Times New Roman" w:hAnsi="Times New Roman" w:cs="Times New Roman"/>
          <w:sz w:val="24"/>
          <w:szCs w:val="24"/>
        </w:rPr>
        <w:t>.</w:t>
      </w:r>
    </w:p>
    <w:p w:rsidR="00A60759" w:rsidRDefault="00A60759">
      <w:pPr>
        <w:rPr>
          <w:rFonts w:ascii="Times New Roman" w:hAnsi="Times New Roman" w:cs="Times New Roman"/>
          <w:sz w:val="24"/>
          <w:szCs w:val="24"/>
        </w:rPr>
      </w:pPr>
    </w:p>
    <w:p w:rsidR="00B24267" w:rsidRDefault="00B24267">
      <w:pPr>
        <w:rPr>
          <w:rFonts w:ascii="Times New Roman" w:hAnsi="Times New Roman" w:cs="Times New Roman"/>
          <w:sz w:val="24"/>
          <w:szCs w:val="24"/>
          <w:u w:val="single"/>
        </w:rPr>
      </w:pPr>
      <w:r>
        <w:rPr>
          <w:rFonts w:ascii="Times New Roman" w:hAnsi="Times New Roman" w:cs="Times New Roman" w:hint="eastAsia"/>
          <w:sz w:val="24"/>
          <w:szCs w:val="24"/>
        </w:rPr>
        <w:t>To:</w:t>
      </w:r>
      <w:r>
        <w:rPr>
          <w:rFonts w:ascii="Times New Roman" w:hAnsi="Times New Roman" w:cs="Times New Roman"/>
          <w:sz w:val="24"/>
          <w:szCs w:val="24"/>
        </w:rPr>
        <w:t xml:space="preserve">     </w:t>
      </w:r>
      <w:r w:rsidRPr="00B24267">
        <w:rPr>
          <w:rFonts w:ascii="Times New Roman" w:hAnsi="Times New Roman" w:cs="Times New Roman" w:hint="eastAsia"/>
          <w:sz w:val="24"/>
          <w:szCs w:val="24"/>
          <w:u w:val="single"/>
        </w:rPr>
        <w:t xml:space="preserve"> </w:t>
      </w:r>
      <w:r>
        <w:rPr>
          <w:rFonts w:ascii="Times New Roman" w:hAnsi="Times New Roman" w:cs="Times New Roman"/>
          <w:sz w:val="24"/>
          <w:szCs w:val="24"/>
          <w:u w:val="single"/>
        </w:rPr>
        <w:t xml:space="preserve">                  </w:t>
      </w:r>
      <w:r w:rsidRPr="001A4E98">
        <w:rPr>
          <w:rFonts w:ascii="Times New Roman" w:hAnsi="Times New Roman" w:cs="Times New Roman" w:hint="eastAsia"/>
          <w:i/>
          <w:szCs w:val="20"/>
          <w:u w:val="single"/>
        </w:rPr>
        <w:t>Name of KRX member</w:t>
      </w:r>
      <w:r w:rsidRPr="00B24267">
        <w:rPr>
          <w:rFonts w:ascii="Times New Roman" w:hAnsi="Times New Roman" w:cs="Times New Roman" w:hint="eastAsia"/>
          <w:sz w:val="24"/>
          <w:szCs w:val="24"/>
          <w:u w:val="single"/>
        </w:rPr>
        <w:t xml:space="preserve"> </w:t>
      </w:r>
      <w:r>
        <w:rPr>
          <w:rFonts w:ascii="Times New Roman" w:hAnsi="Times New Roman" w:cs="Times New Roman"/>
          <w:sz w:val="24"/>
          <w:szCs w:val="24"/>
          <w:u w:val="single"/>
        </w:rPr>
        <w:t xml:space="preserve">             </w:t>
      </w:r>
    </w:p>
    <w:p w:rsidR="00B24267" w:rsidRPr="00A60759" w:rsidRDefault="00B24267">
      <w:pPr>
        <w:rPr>
          <w:rFonts w:ascii="Times New Roman" w:hAnsi="Times New Roman" w:cs="Times New Roman"/>
          <w:sz w:val="24"/>
          <w:szCs w:val="24"/>
        </w:rPr>
      </w:pPr>
    </w:p>
    <w:p w:rsidR="00A60759" w:rsidRDefault="00B24267">
      <w:pPr>
        <w:rPr>
          <w:rFonts w:ascii="Times New Roman" w:hAnsi="Times New Roman" w:cs="Times New Roman"/>
          <w:sz w:val="24"/>
          <w:szCs w:val="24"/>
        </w:rPr>
      </w:pPr>
      <w:r>
        <w:rPr>
          <w:rFonts w:ascii="Times New Roman" w:hAnsi="Times New Roman" w:cs="Times New Roman" w:hint="eastAsia"/>
          <w:sz w:val="24"/>
          <w:szCs w:val="24"/>
        </w:rPr>
        <w:t xml:space="preserve">From: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001A4E9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1A4E98">
        <w:rPr>
          <w:rFonts w:ascii="Times New Roman" w:hAnsi="Times New Roman" w:cs="Times New Roman"/>
          <w:i/>
          <w:szCs w:val="20"/>
          <w:u w:val="single"/>
        </w:rPr>
        <w:t>Name of Eligible Broker-Dealer/Eligible Institution</w:t>
      </w:r>
      <w:r>
        <w:rPr>
          <w:rFonts w:ascii="Times New Roman" w:hAnsi="Times New Roman" w:cs="Times New Roman"/>
          <w:sz w:val="24"/>
          <w:szCs w:val="24"/>
          <w:u w:val="single"/>
        </w:rPr>
        <w:t xml:space="preserve">   </w:t>
      </w:r>
      <w:r w:rsidR="001A4E9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rsidR="00B24267" w:rsidRDefault="00B24267" w:rsidP="00B24267">
      <w:pPr>
        <w:rPr>
          <w:rFonts w:ascii="Times New Roman" w:hAnsi="Times New Roman" w:cs="Times New Roman"/>
          <w:sz w:val="24"/>
          <w:szCs w:val="24"/>
          <w:u w:val="single"/>
        </w:rPr>
      </w:pPr>
      <w:r>
        <w:rPr>
          <w:rFonts w:ascii="Times New Roman" w:hAnsi="Times New Roman" w:cs="Times New Roman"/>
          <w:sz w:val="24"/>
          <w:szCs w:val="24"/>
        </w:rPr>
        <w:t>Address</w:t>
      </w:r>
      <w:r w:rsidR="00F36957" w:rsidRPr="00B65C9E">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B24267" w:rsidRPr="00B24267" w:rsidRDefault="00B24267" w:rsidP="00B24267">
      <w:pPr>
        <w:ind w:leftChars="496" w:left="992"/>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F36957" w:rsidRPr="00B65C9E" w:rsidRDefault="00F36957">
      <w:pPr>
        <w:rPr>
          <w:sz w:val="4"/>
          <w:szCs w:val="4"/>
        </w:rPr>
      </w:pPr>
    </w:p>
    <w:p w:rsidR="00B24267" w:rsidRDefault="00B24267" w:rsidP="00E12FEA">
      <w:pPr>
        <w:rPr>
          <w:rFonts w:ascii="Times New Roman" w:hAnsi="Times New Roman" w:cs="Times New Roman"/>
          <w:sz w:val="22"/>
        </w:rPr>
      </w:pPr>
    </w:p>
    <w:p w:rsidR="00B24267" w:rsidRDefault="00B24267" w:rsidP="00E12FEA">
      <w:pPr>
        <w:rPr>
          <w:rFonts w:ascii="Times New Roman" w:hAnsi="Times New Roman" w:cs="Times New Roman"/>
          <w:sz w:val="22"/>
        </w:rPr>
      </w:pPr>
      <w:r>
        <w:rPr>
          <w:rFonts w:ascii="Times New Roman" w:hAnsi="Times New Roman" w:cs="Times New Roman"/>
          <w:sz w:val="22"/>
        </w:rPr>
        <w:t>REPRESENTATION BY ELIGIBLE BROKER-DEALER/ELIGIBLE INSTITUTION</w:t>
      </w:r>
    </w:p>
    <w:p w:rsidR="00B24267" w:rsidRDefault="00B24267" w:rsidP="00E12FEA">
      <w:pPr>
        <w:rPr>
          <w:rFonts w:ascii="Times New Roman" w:hAnsi="Times New Roman" w:cs="Times New Roman"/>
          <w:sz w:val="22"/>
        </w:rPr>
      </w:pPr>
    </w:p>
    <w:p w:rsidR="00B24267" w:rsidRDefault="00B24267" w:rsidP="00E12FEA">
      <w:pPr>
        <w:rPr>
          <w:rFonts w:ascii="Times New Roman" w:hAnsi="Times New Roman" w:cs="Times New Roman"/>
          <w:sz w:val="24"/>
          <w:szCs w:val="24"/>
        </w:rPr>
      </w:pPr>
      <w:r>
        <w:rPr>
          <w:rFonts w:ascii="Times New Roman" w:hAnsi="Times New Roman" w:cs="Times New Roman"/>
          <w:sz w:val="22"/>
        </w:rPr>
        <w:t xml:space="preserve">The </w:t>
      </w:r>
      <w:r w:rsidR="0049039B">
        <w:rPr>
          <w:rFonts w:ascii="Times New Roman" w:hAnsi="Times New Roman" w:cs="Times New Roman"/>
          <w:sz w:val="24"/>
          <w:szCs w:val="24"/>
        </w:rPr>
        <w:t>Eligible Broker-Dealer/Eligible Institution identified above hereby represents to the KRX member as follows:</w:t>
      </w:r>
    </w:p>
    <w:p w:rsidR="0049039B" w:rsidRDefault="0049039B" w:rsidP="00E12FEA">
      <w:pPr>
        <w:rPr>
          <w:rFonts w:ascii="Times New Roman" w:hAnsi="Times New Roman" w:cs="Times New Roman"/>
          <w:sz w:val="24"/>
          <w:szCs w:val="24"/>
        </w:rPr>
      </w:pPr>
    </w:p>
    <w:p w:rsidR="0049039B" w:rsidRDefault="0049039B" w:rsidP="0049039B">
      <w:pPr>
        <w:pStyle w:val="a3"/>
        <w:numPr>
          <w:ilvl w:val="0"/>
          <w:numId w:val="4"/>
        </w:numPr>
        <w:ind w:leftChars="0" w:left="284"/>
        <w:rPr>
          <w:rFonts w:ascii="Times New Roman" w:hAnsi="Times New Roman" w:cs="Times New Roman"/>
          <w:sz w:val="22"/>
        </w:rPr>
      </w:pPr>
      <w:r>
        <w:rPr>
          <w:rFonts w:ascii="Times New Roman" w:hAnsi="Times New Roman" w:cs="Times New Roman" w:hint="eastAsia"/>
          <w:sz w:val="22"/>
        </w:rPr>
        <w:t>It</w:t>
      </w:r>
      <w:r>
        <w:rPr>
          <w:rFonts w:ascii="Times New Roman" w:hAnsi="Times New Roman" w:cs="Times New Roman"/>
          <w:sz w:val="22"/>
        </w:rPr>
        <w:t>s name and address set out above are correct.</w:t>
      </w:r>
    </w:p>
    <w:p w:rsidR="0049039B" w:rsidRDefault="0049039B" w:rsidP="0049039B">
      <w:pPr>
        <w:pStyle w:val="a3"/>
        <w:numPr>
          <w:ilvl w:val="0"/>
          <w:numId w:val="4"/>
        </w:numPr>
        <w:ind w:leftChars="0" w:left="284"/>
        <w:rPr>
          <w:rFonts w:ascii="Times New Roman" w:hAnsi="Times New Roman" w:cs="Times New Roman"/>
          <w:sz w:val="22"/>
        </w:rPr>
      </w:pPr>
      <w:r>
        <w:rPr>
          <w:rFonts w:ascii="Times New Roman" w:hAnsi="Times New Roman" w:cs="Times New Roman"/>
          <w:sz w:val="22"/>
        </w:rPr>
        <w:t>I</w:t>
      </w:r>
      <w:r w:rsidRPr="0049039B">
        <w:rPr>
          <w:rFonts w:ascii="Times New Roman" w:hAnsi="Times New Roman" w:cs="Times New Roman"/>
          <w:sz w:val="22"/>
        </w:rPr>
        <w:t>t is an Eligible Broker-Dealer/Eligible Institution, and as such it (</w:t>
      </w:r>
      <w:proofErr w:type="spellStart"/>
      <w:r w:rsidRPr="0049039B">
        <w:rPr>
          <w:rFonts w:ascii="Times New Roman" w:hAnsi="Times New Roman" w:cs="Times New Roman"/>
          <w:sz w:val="22"/>
        </w:rPr>
        <w:t>i</w:t>
      </w:r>
      <w:proofErr w:type="spellEnd"/>
      <w:r w:rsidRPr="0049039B">
        <w:rPr>
          <w:rFonts w:ascii="Times New Roman" w:hAnsi="Times New Roman" w:cs="Times New Roman"/>
          <w:sz w:val="22"/>
        </w:rPr>
        <w:t>) owns and invests on a discretionary basis a specified amount of eligible securities sufficient for it to be a qualified institutional buyer under Rule 144A under the Securities Act (and if a bank, savings and loan association, or other thrift institution, has net worth meeting the requirements of Rule 144A under the Securities Act), and (ii) has had prior actual experience in the U.S. standardized options markets and as a result thereof has received the options disclosure document entitled "Characteristics and Risks of Standardized Options" (the "Options Disclosure Document" or "ODD") that is prepared by the Options Clearing Corporation and the U.S. options exchanges</w:t>
      </w:r>
      <w:r>
        <w:rPr>
          <w:rFonts w:ascii="Times New Roman" w:hAnsi="Times New Roman" w:cs="Times New Roman"/>
          <w:sz w:val="22"/>
        </w:rPr>
        <w:t>.</w:t>
      </w:r>
    </w:p>
    <w:p w:rsidR="0049039B" w:rsidRDefault="0049039B" w:rsidP="0049039B">
      <w:pPr>
        <w:pStyle w:val="a3"/>
        <w:numPr>
          <w:ilvl w:val="0"/>
          <w:numId w:val="4"/>
        </w:numPr>
        <w:ind w:leftChars="0" w:left="284"/>
        <w:rPr>
          <w:rFonts w:ascii="Times New Roman" w:hAnsi="Times New Roman" w:cs="Times New Roman"/>
          <w:sz w:val="22"/>
        </w:rPr>
      </w:pPr>
      <w:r>
        <w:rPr>
          <w:rFonts w:ascii="Times New Roman" w:hAnsi="Times New Roman" w:cs="Times New Roman"/>
          <w:sz w:val="22"/>
        </w:rPr>
        <w:t>I</w:t>
      </w:r>
      <w:r w:rsidRPr="0049039B">
        <w:rPr>
          <w:rFonts w:ascii="Times New Roman" w:hAnsi="Times New Roman" w:cs="Times New Roman"/>
          <w:sz w:val="22"/>
        </w:rPr>
        <w:t>ts transactions in Eligible Options will be for its own account or for the account of another Eligible Broker-Dealer/Eligible Institution or for the managed account of a non-U.S. person within the meaning of Rule 902(k)(2)(</w:t>
      </w:r>
      <w:proofErr w:type="spellStart"/>
      <w:r w:rsidRPr="0049039B">
        <w:rPr>
          <w:rFonts w:ascii="Times New Roman" w:hAnsi="Times New Roman" w:cs="Times New Roman"/>
          <w:sz w:val="22"/>
        </w:rPr>
        <w:t>i</w:t>
      </w:r>
      <w:proofErr w:type="spellEnd"/>
      <w:r w:rsidRPr="0049039B">
        <w:rPr>
          <w:rFonts w:ascii="Times New Roman" w:hAnsi="Times New Roman" w:cs="Times New Roman"/>
          <w:sz w:val="22"/>
        </w:rPr>
        <w:t>) of Regulation S under the Securities Act</w:t>
      </w:r>
      <w:r>
        <w:rPr>
          <w:rFonts w:ascii="Times New Roman" w:hAnsi="Times New Roman" w:cs="Times New Roman"/>
          <w:sz w:val="22"/>
        </w:rPr>
        <w:t>.</w:t>
      </w:r>
    </w:p>
    <w:p w:rsidR="0049039B" w:rsidRDefault="0049039B" w:rsidP="0049039B">
      <w:pPr>
        <w:pStyle w:val="a3"/>
        <w:numPr>
          <w:ilvl w:val="0"/>
          <w:numId w:val="4"/>
        </w:numPr>
        <w:ind w:leftChars="0" w:left="284"/>
        <w:rPr>
          <w:rFonts w:ascii="Times New Roman" w:hAnsi="Times New Roman" w:cs="Times New Roman"/>
          <w:sz w:val="22"/>
        </w:rPr>
      </w:pPr>
      <w:r>
        <w:rPr>
          <w:rFonts w:ascii="Times New Roman" w:hAnsi="Times New Roman" w:cs="Times New Roman"/>
          <w:sz w:val="22"/>
        </w:rPr>
        <w:t>I</w:t>
      </w:r>
      <w:r w:rsidRPr="0049039B">
        <w:rPr>
          <w:rFonts w:ascii="Times New Roman" w:hAnsi="Times New Roman" w:cs="Times New Roman"/>
          <w:sz w:val="22"/>
        </w:rPr>
        <w:t>t will not transfer any interest or participation in an Eligible Option it has purchased or written to any other U.S. person, or to any person in the United States, that is not an Eligible Broker-Dealer/Eligible Institution</w:t>
      </w:r>
      <w:r>
        <w:rPr>
          <w:rFonts w:ascii="Times New Roman" w:hAnsi="Times New Roman" w:cs="Times New Roman"/>
          <w:sz w:val="22"/>
        </w:rPr>
        <w:t>.</w:t>
      </w:r>
    </w:p>
    <w:p w:rsidR="0049039B" w:rsidRDefault="0049039B" w:rsidP="0049039B">
      <w:pPr>
        <w:pStyle w:val="a3"/>
        <w:numPr>
          <w:ilvl w:val="0"/>
          <w:numId w:val="4"/>
        </w:numPr>
        <w:ind w:leftChars="0" w:left="284"/>
        <w:rPr>
          <w:rFonts w:ascii="Times New Roman" w:hAnsi="Times New Roman" w:cs="Times New Roman"/>
          <w:sz w:val="22"/>
        </w:rPr>
      </w:pPr>
      <w:r>
        <w:rPr>
          <w:rFonts w:ascii="Times New Roman" w:hAnsi="Times New Roman" w:cs="Times New Roman"/>
          <w:sz w:val="22"/>
        </w:rPr>
        <w:t>I</w:t>
      </w:r>
      <w:r w:rsidRPr="0049039B">
        <w:rPr>
          <w:rFonts w:ascii="Times New Roman" w:hAnsi="Times New Roman" w:cs="Times New Roman"/>
          <w:sz w:val="22"/>
        </w:rPr>
        <w:t xml:space="preserve">t will cause any disposition of an Eligible Option it has purchased or written to be effected only on </w:t>
      </w:r>
      <w:r>
        <w:rPr>
          <w:rFonts w:ascii="Times New Roman" w:hAnsi="Times New Roman" w:cs="Times New Roman"/>
          <w:sz w:val="22"/>
        </w:rPr>
        <w:t>KRX</w:t>
      </w:r>
      <w:r w:rsidRPr="0049039B">
        <w:rPr>
          <w:rFonts w:ascii="Times New Roman" w:hAnsi="Times New Roman" w:cs="Times New Roman"/>
          <w:sz w:val="22"/>
        </w:rPr>
        <w:t xml:space="preserve"> and settled on </w:t>
      </w:r>
      <w:r>
        <w:rPr>
          <w:rFonts w:ascii="Times New Roman" w:hAnsi="Times New Roman" w:cs="Times New Roman"/>
          <w:sz w:val="22"/>
        </w:rPr>
        <w:t>KRX</w:t>
      </w:r>
      <w:r w:rsidRPr="0049039B">
        <w:rPr>
          <w:rFonts w:ascii="Times New Roman" w:hAnsi="Times New Roman" w:cs="Times New Roman"/>
          <w:sz w:val="22"/>
        </w:rPr>
        <w:t xml:space="preserve">, and it understands that any required payments for premium, settlement, </w:t>
      </w:r>
      <w:r w:rsidRPr="0049039B">
        <w:rPr>
          <w:rFonts w:ascii="Times New Roman" w:hAnsi="Times New Roman" w:cs="Times New Roman"/>
          <w:sz w:val="22"/>
        </w:rPr>
        <w:lastRenderedPageBreak/>
        <w:t xml:space="preserve">exercise, or closing of any Eligible Option with respect to which it has a contract with the </w:t>
      </w:r>
      <w:r>
        <w:rPr>
          <w:rFonts w:ascii="Times New Roman" w:hAnsi="Times New Roman" w:cs="Times New Roman"/>
          <w:sz w:val="22"/>
        </w:rPr>
        <w:t>KRX</w:t>
      </w:r>
      <w:r w:rsidRPr="0049039B">
        <w:rPr>
          <w:rFonts w:ascii="Times New Roman" w:hAnsi="Times New Roman" w:cs="Times New Roman"/>
          <w:sz w:val="22"/>
        </w:rPr>
        <w:t xml:space="preserve"> member must be made in the designated currency</w:t>
      </w:r>
      <w:r>
        <w:rPr>
          <w:rFonts w:ascii="Times New Roman" w:hAnsi="Times New Roman" w:cs="Times New Roman"/>
          <w:sz w:val="22"/>
        </w:rPr>
        <w:t>.</w:t>
      </w:r>
    </w:p>
    <w:p w:rsidR="0049039B" w:rsidRDefault="0049039B" w:rsidP="0049039B">
      <w:pPr>
        <w:pStyle w:val="a3"/>
        <w:numPr>
          <w:ilvl w:val="0"/>
          <w:numId w:val="4"/>
        </w:numPr>
        <w:ind w:leftChars="0" w:left="284"/>
        <w:rPr>
          <w:rFonts w:ascii="Times New Roman" w:hAnsi="Times New Roman" w:cs="Times New Roman"/>
          <w:sz w:val="22"/>
        </w:rPr>
      </w:pPr>
      <w:r>
        <w:rPr>
          <w:rFonts w:ascii="Times New Roman" w:hAnsi="Times New Roman" w:cs="Times New Roman"/>
          <w:sz w:val="22"/>
        </w:rPr>
        <w:t>I</w:t>
      </w:r>
      <w:r w:rsidRPr="0049039B">
        <w:rPr>
          <w:rFonts w:ascii="Times New Roman" w:hAnsi="Times New Roman" w:cs="Times New Roman"/>
          <w:sz w:val="22"/>
        </w:rPr>
        <w:t xml:space="preserve">t understands that if it has a contract as a writer of an Eligible Option with a </w:t>
      </w:r>
      <w:r>
        <w:rPr>
          <w:rFonts w:ascii="Times New Roman" w:hAnsi="Times New Roman" w:cs="Times New Roman"/>
          <w:sz w:val="22"/>
        </w:rPr>
        <w:t>KRX</w:t>
      </w:r>
      <w:r w:rsidRPr="0049039B">
        <w:rPr>
          <w:rFonts w:ascii="Times New Roman" w:hAnsi="Times New Roman" w:cs="Times New Roman"/>
          <w:sz w:val="22"/>
        </w:rPr>
        <w:t xml:space="preserve"> member, margin must be provided to that </w:t>
      </w:r>
      <w:r>
        <w:rPr>
          <w:rFonts w:ascii="Times New Roman" w:hAnsi="Times New Roman" w:cs="Times New Roman"/>
          <w:sz w:val="22"/>
        </w:rPr>
        <w:t>KRX</w:t>
      </w:r>
      <w:r w:rsidRPr="0049039B">
        <w:rPr>
          <w:rFonts w:ascii="Times New Roman" w:hAnsi="Times New Roman" w:cs="Times New Roman"/>
          <w:sz w:val="22"/>
        </w:rPr>
        <w:t xml:space="preserve"> member in such form and amount as determined by that</w:t>
      </w:r>
      <w:r w:rsidR="0015328C">
        <w:rPr>
          <w:rFonts w:ascii="Times New Roman" w:hAnsi="Times New Roman" w:cs="Times New Roman"/>
          <w:sz w:val="22"/>
        </w:rPr>
        <w:t xml:space="preserve"> KRX </w:t>
      </w:r>
      <w:r w:rsidR="0015328C" w:rsidRPr="0049039B">
        <w:rPr>
          <w:rFonts w:ascii="Times New Roman" w:hAnsi="Times New Roman" w:cs="Times New Roman"/>
          <w:sz w:val="22"/>
        </w:rPr>
        <w:t>member, and such member, if</w:t>
      </w:r>
      <w:r w:rsidR="0015328C">
        <w:rPr>
          <w:rFonts w:ascii="Times New Roman" w:hAnsi="Times New Roman" w:cs="Times New Roman"/>
          <w:sz w:val="22"/>
        </w:rPr>
        <w:t xml:space="preserve"> </w:t>
      </w:r>
      <w:r w:rsidR="0015328C" w:rsidRPr="0049039B">
        <w:rPr>
          <w:rFonts w:ascii="Times New Roman" w:hAnsi="Times New Roman" w:cs="Times New Roman"/>
          <w:sz w:val="22"/>
        </w:rPr>
        <w:t>a non-clearing member of</w:t>
      </w:r>
      <w:r w:rsidR="0015328C">
        <w:rPr>
          <w:rFonts w:ascii="Times New Roman" w:hAnsi="Times New Roman" w:cs="Times New Roman"/>
          <w:sz w:val="22"/>
        </w:rPr>
        <w:t xml:space="preserve"> KRX</w:t>
      </w:r>
      <w:r w:rsidR="0015328C" w:rsidRPr="0049039B">
        <w:rPr>
          <w:rFonts w:ascii="Times New Roman" w:hAnsi="Times New Roman" w:cs="Times New Roman"/>
          <w:sz w:val="22"/>
        </w:rPr>
        <w:t>, must provide margin to its clearing member in such form and amount as determined by that clearing member; and if a clearing member of</w:t>
      </w:r>
      <w:r w:rsidR="0015328C">
        <w:rPr>
          <w:rFonts w:ascii="Times New Roman" w:hAnsi="Times New Roman" w:cs="Times New Roman"/>
          <w:sz w:val="22"/>
        </w:rPr>
        <w:t xml:space="preserve"> KRX </w:t>
      </w:r>
      <w:r w:rsidR="0015328C" w:rsidRPr="0049039B">
        <w:rPr>
          <w:rFonts w:ascii="Times New Roman" w:hAnsi="Times New Roman" w:cs="Times New Roman"/>
          <w:sz w:val="22"/>
        </w:rPr>
        <w:t xml:space="preserve">, must maintain, measure, and deposit margin on such Eligible Option with </w:t>
      </w:r>
      <w:r w:rsidR="0015328C">
        <w:rPr>
          <w:rFonts w:ascii="Times New Roman" w:hAnsi="Times New Roman" w:cs="Times New Roman"/>
          <w:sz w:val="22"/>
        </w:rPr>
        <w:t>KRX</w:t>
      </w:r>
      <w:r w:rsidR="0015328C" w:rsidRPr="0049039B">
        <w:rPr>
          <w:rFonts w:ascii="Times New Roman" w:hAnsi="Times New Roman" w:cs="Times New Roman"/>
          <w:sz w:val="22"/>
        </w:rPr>
        <w:t>, in such form and amount as d</w:t>
      </w:r>
      <w:r w:rsidR="0015328C">
        <w:rPr>
          <w:rFonts w:ascii="Times New Roman" w:hAnsi="Times New Roman" w:cs="Times New Roman"/>
          <w:sz w:val="22"/>
        </w:rPr>
        <w:t>etermined by KRX;</w:t>
      </w:r>
    </w:p>
    <w:p w:rsidR="0015328C" w:rsidRDefault="0015328C" w:rsidP="0049039B">
      <w:pPr>
        <w:pStyle w:val="a3"/>
        <w:numPr>
          <w:ilvl w:val="0"/>
          <w:numId w:val="4"/>
        </w:numPr>
        <w:ind w:leftChars="0" w:left="284"/>
        <w:rPr>
          <w:rFonts w:ascii="Times New Roman" w:hAnsi="Times New Roman" w:cs="Times New Roman"/>
          <w:sz w:val="22"/>
        </w:rPr>
      </w:pPr>
      <w:r>
        <w:rPr>
          <w:rFonts w:ascii="Times New Roman" w:hAnsi="Times New Roman" w:cs="Times New Roman"/>
          <w:sz w:val="22"/>
        </w:rPr>
        <w:t>I</w:t>
      </w:r>
      <w:r w:rsidRPr="0049039B">
        <w:rPr>
          <w:rFonts w:ascii="Times New Roman" w:hAnsi="Times New Roman" w:cs="Times New Roman"/>
          <w:sz w:val="22"/>
        </w:rPr>
        <w:t xml:space="preserve">f it is an Eligible Broker-Dealer/Eligible Institution acting on behalf of another Eligible Broker-Dealer/Eligible Institution that is not a managed account, it has obtained from the other Eligible Broker-Dealer/Eligible Institution a written representation to the same effect as the foregoing and will provide it to the </w:t>
      </w:r>
      <w:r>
        <w:rPr>
          <w:rFonts w:ascii="Times New Roman" w:hAnsi="Times New Roman" w:cs="Times New Roman"/>
          <w:sz w:val="22"/>
        </w:rPr>
        <w:t>KRX</w:t>
      </w:r>
      <w:r w:rsidRPr="0049039B">
        <w:rPr>
          <w:rFonts w:ascii="Times New Roman" w:hAnsi="Times New Roman" w:cs="Times New Roman"/>
          <w:sz w:val="22"/>
        </w:rPr>
        <w:t xml:space="preserve"> member upon demand;</w:t>
      </w:r>
    </w:p>
    <w:p w:rsidR="0015328C" w:rsidRDefault="0015328C" w:rsidP="0049039B">
      <w:pPr>
        <w:pStyle w:val="a3"/>
        <w:numPr>
          <w:ilvl w:val="0"/>
          <w:numId w:val="4"/>
        </w:numPr>
        <w:ind w:leftChars="0" w:left="284"/>
        <w:rPr>
          <w:rFonts w:ascii="Times New Roman" w:hAnsi="Times New Roman" w:cs="Times New Roman"/>
          <w:sz w:val="22"/>
        </w:rPr>
      </w:pPr>
      <w:r>
        <w:rPr>
          <w:rFonts w:ascii="Times New Roman" w:hAnsi="Times New Roman" w:cs="Times New Roman"/>
          <w:sz w:val="22"/>
        </w:rPr>
        <w:t>I</w:t>
      </w:r>
      <w:r w:rsidRPr="0049039B">
        <w:rPr>
          <w:rFonts w:ascii="Times New Roman" w:hAnsi="Times New Roman" w:cs="Times New Roman"/>
          <w:sz w:val="22"/>
        </w:rPr>
        <w:t xml:space="preserve">t will notify </w:t>
      </w:r>
      <w:r>
        <w:rPr>
          <w:rFonts w:ascii="Times New Roman" w:hAnsi="Times New Roman" w:cs="Times New Roman"/>
          <w:sz w:val="22"/>
        </w:rPr>
        <w:t>the KRX</w:t>
      </w:r>
      <w:r w:rsidRPr="0049039B">
        <w:rPr>
          <w:rFonts w:ascii="Times New Roman" w:hAnsi="Times New Roman" w:cs="Times New Roman"/>
          <w:sz w:val="22"/>
        </w:rPr>
        <w:t xml:space="preserve"> member of any change in the foregoing representations prior to placing any future order, and the foregoing representations will be deemed to be made with respect to each order it gives to the </w:t>
      </w:r>
      <w:r>
        <w:rPr>
          <w:rFonts w:ascii="Times New Roman" w:hAnsi="Times New Roman" w:cs="Times New Roman"/>
          <w:sz w:val="22"/>
        </w:rPr>
        <w:t xml:space="preserve">KRX </w:t>
      </w:r>
      <w:r w:rsidRPr="0049039B">
        <w:rPr>
          <w:rFonts w:ascii="Times New Roman" w:hAnsi="Times New Roman" w:cs="Times New Roman"/>
          <w:sz w:val="22"/>
        </w:rPr>
        <w:t>member</w:t>
      </w:r>
      <w:r>
        <w:rPr>
          <w:rFonts w:ascii="Times New Roman" w:hAnsi="Times New Roman" w:cs="Times New Roman"/>
          <w:sz w:val="22"/>
        </w:rPr>
        <w:t>:</w:t>
      </w:r>
      <w:r w:rsidRPr="0049039B">
        <w:rPr>
          <w:rFonts w:ascii="Times New Roman" w:hAnsi="Times New Roman" w:cs="Times New Roman"/>
          <w:sz w:val="22"/>
        </w:rPr>
        <w:t xml:space="preserve"> and</w:t>
      </w:r>
    </w:p>
    <w:p w:rsidR="0049039B" w:rsidRDefault="0015328C" w:rsidP="001A4E98">
      <w:pPr>
        <w:pStyle w:val="a3"/>
        <w:numPr>
          <w:ilvl w:val="0"/>
          <w:numId w:val="4"/>
        </w:numPr>
        <w:ind w:leftChars="0" w:left="284"/>
        <w:rPr>
          <w:rFonts w:ascii="Times New Roman" w:hAnsi="Times New Roman" w:cs="Times New Roman"/>
          <w:sz w:val="22"/>
        </w:rPr>
      </w:pPr>
      <w:r>
        <w:rPr>
          <w:rFonts w:ascii="Times New Roman" w:hAnsi="Times New Roman" w:cs="Times New Roman"/>
          <w:sz w:val="22"/>
        </w:rPr>
        <w:t xml:space="preserve">It agrees that the KRX </w:t>
      </w:r>
      <w:r w:rsidRPr="00B42D22">
        <w:rPr>
          <w:rFonts w:ascii="Times New Roman" w:hAnsi="Times New Roman" w:cs="Times New Roman"/>
          <w:sz w:val="22"/>
        </w:rPr>
        <w:t xml:space="preserve">member </w:t>
      </w:r>
      <w:r w:rsidR="00B42D22" w:rsidRPr="00B42D22">
        <w:rPr>
          <w:rFonts w:ascii="Times New Roman" w:hAnsi="Times New Roman" w:cs="Times New Roman"/>
          <w:sz w:val="22"/>
        </w:rPr>
        <w:t xml:space="preserve">may </w:t>
      </w:r>
      <w:r w:rsidRPr="00B42D22">
        <w:rPr>
          <w:rFonts w:ascii="Times New Roman" w:hAnsi="Times New Roman" w:cs="Times New Roman"/>
          <w:sz w:val="22"/>
        </w:rPr>
        <w:t xml:space="preserve">provide </w:t>
      </w:r>
      <w:r w:rsidR="00B42D22" w:rsidRPr="00B42D22">
        <w:rPr>
          <w:rFonts w:ascii="Times New Roman" w:hAnsi="Times New Roman" w:cs="Times New Roman"/>
          <w:sz w:val="22"/>
        </w:rPr>
        <w:t xml:space="preserve">KRX with </w:t>
      </w:r>
      <w:r w:rsidRPr="00B42D22">
        <w:rPr>
          <w:rFonts w:ascii="Times New Roman" w:hAnsi="Times New Roman" w:cs="Times New Roman"/>
          <w:sz w:val="22"/>
        </w:rPr>
        <w:t>information</w:t>
      </w:r>
      <w:r>
        <w:rPr>
          <w:rFonts w:ascii="Times New Roman" w:hAnsi="Times New Roman" w:cs="Times New Roman"/>
          <w:sz w:val="22"/>
        </w:rPr>
        <w:t xml:space="preserve"> in relation to activities carried out on KRX upon request, in accordance with the conditions of </w:t>
      </w:r>
      <w:r w:rsidR="001A4E98">
        <w:rPr>
          <w:rFonts w:ascii="Times New Roman" w:hAnsi="Times New Roman" w:cs="Times New Roman"/>
          <w:sz w:val="22"/>
        </w:rPr>
        <w:t>SEC’s Class No-Action Letter on July 1, 2013.</w:t>
      </w:r>
    </w:p>
    <w:p w:rsidR="001A4E98" w:rsidRPr="00B42D22" w:rsidRDefault="001A4E98" w:rsidP="001A4E98">
      <w:pPr>
        <w:rPr>
          <w:rFonts w:ascii="Times New Roman" w:hAnsi="Times New Roman" w:cs="Times New Roman"/>
          <w:sz w:val="22"/>
        </w:rPr>
      </w:pPr>
    </w:p>
    <w:p w:rsidR="001A4E98" w:rsidRDefault="001A4E98" w:rsidP="001A4E98">
      <w:pPr>
        <w:rPr>
          <w:rFonts w:ascii="Times New Roman" w:hAnsi="Times New Roman" w:cs="Times New Roman"/>
          <w:sz w:val="22"/>
        </w:rPr>
      </w:pPr>
    </w:p>
    <w:p w:rsidR="001A4E98" w:rsidRDefault="001A4E98" w:rsidP="001A4E98">
      <w:pPr>
        <w:rPr>
          <w:rFonts w:ascii="Times New Roman" w:hAnsi="Times New Roman" w:cs="Times New Roman"/>
          <w:sz w:val="22"/>
        </w:rPr>
      </w:pPr>
    </w:p>
    <w:p w:rsidR="001A4E98" w:rsidRPr="001A4E98" w:rsidRDefault="001A4E98" w:rsidP="001A4E98">
      <w:pPr>
        <w:spacing w:line="480" w:lineRule="auto"/>
        <w:rPr>
          <w:rFonts w:ascii="Times New Roman" w:hAnsi="Times New Roman" w:cs="Times New Roman"/>
          <w:sz w:val="22"/>
          <w:u w:val="single"/>
        </w:rPr>
      </w:pPr>
      <w:r>
        <w:rPr>
          <w:rFonts w:ascii="Times New Roman" w:hAnsi="Times New Roman" w:cs="Times New Roman" w:hint="eastAsia"/>
          <w:sz w:val="22"/>
        </w:rPr>
        <w:t>Name:</w:t>
      </w:r>
      <w:r>
        <w:rPr>
          <w:rFonts w:ascii="Times New Roman" w:hAnsi="Times New Roman" w:cs="Times New Roman"/>
          <w:sz w:val="22"/>
        </w:rPr>
        <w:t xml:space="preserve">    </w:t>
      </w:r>
      <w:r>
        <w:rPr>
          <w:rFonts w:ascii="Times New Roman" w:hAnsi="Times New Roman" w:cs="Times New Roman" w:hint="eastAsia"/>
          <w:sz w:val="22"/>
        </w:rPr>
        <w:t xml:space="preserve"> </w:t>
      </w:r>
      <w:r>
        <w:rPr>
          <w:rFonts w:ascii="Times New Roman" w:hAnsi="Times New Roman" w:cs="Times New Roman"/>
          <w:sz w:val="22"/>
        </w:rPr>
        <w:t xml:space="preserve">  </w:t>
      </w:r>
      <w:r>
        <w:rPr>
          <w:rFonts w:ascii="Times New Roman" w:hAnsi="Times New Roman" w:cs="Times New Roman"/>
          <w:sz w:val="22"/>
          <w:u w:val="single"/>
        </w:rPr>
        <w:t xml:space="preserve">                                                 </w:t>
      </w:r>
    </w:p>
    <w:p w:rsidR="001A4E98" w:rsidRPr="001A4E98" w:rsidRDefault="001A4E98" w:rsidP="001A4E98">
      <w:pPr>
        <w:spacing w:line="480" w:lineRule="auto"/>
        <w:rPr>
          <w:rFonts w:ascii="Times New Roman" w:hAnsi="Times New Roman" w:cs="Times New Roman"/>
          <w:sz w:val="22"/>
          <w:u w:val="single"/>
        </w:rPr>
      </w:pPr>
      <w:r>
        <w:rPr>
          <w:rFonts w:ascii="Times New Roman" w:hAnsi="Times New Roman" w:cs="Times New Roman"/>
          <w:sz w:val="22"/>
        </w:rPr>
        <w:t xml:space="preserve">Position:     </w:t>
      </w:r>
      <w:r>
        <w:rPr>
          <w:rFonts w:ascii="Times New Roman" w:hAnsi="Times New Roman" w:cs="Times New Roman"/>
          <w:sz w:val="22"/>
          <w:u w:val="single"/>
        </w:rPr>
        <w:t xml:space="preserve">                                                  </w:t>
      </w:r>
    </w:p>
    <w:p w:rsidR="001A4E98" w:rsidRPr="001A4E98" w:rsidRDefault="001A4E98" w:rsidP="001A4E98">
      <w:pPr>
        <w:spacing w:line="480" w:lineRule="auto"/>
        <w:rPr>
          <w:rFonts w:ascii="Times New Roman" w:hAnsi="Times New Roman" w:cs="Times New Roman"/>
          <w:sz w:val="22"/>
          <w:u w:val="single"/>
        </w:rPr>
      </w:pPr>
      <w:r>
        <w:rPr>
          <w:rFonts w:ascii="Times New Roman" w:hAnsi="Times New Roman" w:cs="Times New Roman"/>
          <w:sz w:val="22"/>
        </w:rPr>
        <w:t xml:space="preserve">Date:        </w:t>
      </w:r>
      <w:r>
        <w:rPr>
          <w:rFonts w:ascii="Times New Roman" w:hAnsi="Times New Roman" w:cs="Times New Roman"/>
          <w:sz w:val="22"/>
          <w:u w:val="single"/>
        </w:rPr>
        <w:t xml:space="preserve">                                                  </w:t>
      </w:r>
    </w:p>
    <w:p w:rsidR="001A4E98" w:rsidRDefault="001A4E98" w:rsidP="001A4E98">
      <w:pPr>
        <w:spacing w:line="240" w:lineRule="auto"/>
        <w:rPr>
          <w:rFonts w:ascii="Times New Roman" w:hAnsi="Times New Roman" w:cs="Times New Roman"/>
          <w:sz w:val="22"/>
        </w:rPr>
      </w:pPr>
      <w:r>
        <w:rPr>
          <w:rFonts w:ascii="Times New Roman" w:hAnsi="Times New Roman" w:cs="Times New Roman"/>
          <w:sz w:val="22"/>
        </w:rPr>
        <w:t>Signed for and on behalf of</w:t>
      </w:r>
    </w:p>
    <w:p w:rsidR="001A4E98" w:rsidRDefault="001A4E98" w:rsidP="001A4E98">
      <w:pPr>
        <w:spacing w:line="480" w:lineRule="auto"/>
        <w:rPr>
          <w:rFonts w:ascii="Times New Roman" w:hAnsi="Times New Roman" w:cs="Times New Roman"/>
          <w:sz w:val="22"/>
        </w:rPr>
      </w:pPr>
      <w:proofErr w:type="gramStart"/>
      <w:r>
        <w:rPr>
          <w:rFonts w:ascii="Times New Roman" w:hAnsi="Times New Roman" w:cs="Times New Roman"/>
          <w:sz w:val="22"/>
        </w:rPr>
        <w:t>the</w:t>
      </w:r>
      <w:proofErr w:type="gramEnd"/>
      <w:r>
        <w:rPr>
          <w:rFonts w:ascii="Times New Roman" w:hAnsi="Times New Roman" w:cs="Times New Roman"/>
          <w:sz w:val="22"/>
        </w:rPr>
        <w:t xml:space="preserve"> Eligible Broker-Dealer/Eligible Institution by:</w:t>
      </w:r>
    </w:p>
    <w:p w:rsidR="001A4E98" w:rsidRDefault="001A4E98" w:rsidP="001A4E98">
      <w:pPr>
        <w:rPr>
          <w:rFonts w:ascii="Times New Roman" w:hAnsi="Times New Roman" w:cs="Times New Roman"/>
          <w:sz w:val="22"/>
        </w:rPr>
      </w:pPr>
    </w:p>
    <w:p w:rsidR="001A4E98" w:rsidRPr="001A4E98" w:rsidRDefault="001A4E98" w:rsidP="001A4E98">
      <w:pPr>
        <w:rPr>
          <w:rFonts w:ascii="Times New Roman" w:hAnsi="Times New Roman" w:cs="Times New Roman"/>
          <w:sz w:val="22"/>
          <w:u w:val="single"/>
        </w:rPr>
      </w:pPr>
      <w:r>
        <w:rPr>
          <w:rFonts w:ascii="Times New Roman" w:hAnsi="Times New Roman" w:cs="Times New Roman"/>
          <w:sz w:val="22"/>
        </w:rPr>
        <w:t xml:space="preserve">             </w:t>
      </w:r>
      <w:r>
        <w:rPr>
          <w:rFonts w:ascii="Times New Roman" w:hAnsi="Times New Roman" w:cs="Times New Roman"/>
          <w:sz w:val="22"/>
          <w:u w:val="single"/>
        </w:rPr>
        <w:t xml:space="preserve">                                                  </w:t>
      </w:r>
    </w:p>
    <w:p w:rsidR="001A4E98" w:rsidRDefault="001A4E98" w:rsidP="001A4E98">
      <w:pPr>
        <w:rPr>
          <w:rFonts w:ascii="Times New Roman" w:hAnsi="Times New Roman" w:cs="Times New Roman"/>
          <w:sz w:val="22"/>
        </w:rPr>
      </w:pPr>
    </w:p>
    <w:p w:rsidR="001A4E98" w:rsidRDefault="001A4E98" w:rsidP="001A4E98">
      <w:pPr>
        <w:rPr>
          <w:rFonts w:ascii="Times New Roman" w:hAnsi="Times New Roman" w:cs="Times New Roman"/>
          <w:sz w:val="22"/>
        </w:rPr>
      </w:pPr>
    </w:p>
    <w:p w:rsidR="001A4E98" w:rsidRPr="001A4E98" w:rsidRDefault="001A4E98" w:rsidP="001A4E98">
      <w:pPr>
        <w:rPr>
          <w:rFonts w:ascii="Times New Roman" w:hAnsi="Times New Roman" w:cs="Times New Roman"/>
          <w:sz w:val="22"/>
        </w:rPr>
      </w:pPr>
    </w:p>
    <w:sectPr w:rsidR="001A4E98" w:rsidRPr="001A4E9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HY신명조">
    <w:panose1 w:val="02030600000101010101"/>
    <w:charset w:val="81"/>
    <w:family w:val="roman"/>
    <w:pitch w:val="variable"/>
    <w:sig w:usb0="900002A7" w:usb1="29D77CF9" w:usb2="00000010" w:usb3="00000000" w:csb0="0008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0FDBD8"/>
    <w:multiLevelType w:val="hybridMultilevel"/>
    <w:tmpl w:val="488CF4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23BEE4"/>
    <w:multiLevelType w:val="hybridMultilevel"/>
    <w:tmpl w:val="B1FA97F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C6C81"/>
    <w:multiLevelType w:val="hybridMultilevel"/>
    <w:tmpl w:val="24A64D04"/>
    <w:lvl w:ilvl="0" w:tplc="8884B304">
      <w:start w:val="1"/>
      <w:numFmt w:val="decimal"/>
      <w:lvlText w:val="%1."/>
      <w:lvlJc w:val="left"/>
      <w:pPr>
        <w:ind w:left="760" w:hanging="360"/>
      </w:pPr>
      <w:rPr>
        <w:rFonts w:asciiTheme="minorHAnsi" w:eastAsia="HY신명조" w:hAnsiTheme="minorHAnsi" w:cstheme="minorBid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85D6C18"/>
    <w:multiLevelType w:val="hybridMultilevel"/>
    <w:tmpl w:val="5D6C6D20"/>
    <w:lvl w:ilvl="0" w:tplc="A33CE6FE">
      <w:start w:val="1"/>
      <w:numFmt w:val="decimal"/>
      <w:lvlText w:val="%1."/>
      <w:lvlJc w:val="left"/>
      <w:pPr>
        <w:ind w:left="760" w:hanging="360"/>
      </w:pPr>
      <w:rPr>
        <w:rFonts w:asciiTheme="minorHAnsi" w:eastAsia="HY신명조" w:hAnsiTheme="minorHAnsi" w:cstheme="minorBid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2F703FA"/>
    <w:multiLevelType w:val="hybridMultilevel"/>
    <w:tmpl w:val="E210007C"/>
    <w:lvl w:ilvl="0" w:tplc="470C292C">
      <w:start w:val="1"/>
      <w:numFmt w:val="decimal"/>
      <w:lvlText w:val="%1."/>
      <w:lvlJc w:val="left"/>
      <w:pPr>
        <w:ind w:left="760" w:hanging="360"/>
      </w:pPr>
      <w:rPr>
        <w:rFonts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2454F7E"/>
    <w:multiLevelType w:val="hybridMultilevel"/>
    <w:tmpl w:val="955A1882"/>
    <w:lvl w:ilvl="0" w:tplc="BED0BB00">
      <w:start w:val="1"/>
      <w:numFmt w:val="decimal"/>
      <w:lvlText w:val="%1."/>
      <w:lvlJc w:val="left"/>
      <w:pPr>
        <w:ind w:left="1155" w:hanging="360"/>
      </w:pPr>
      <w:rPr>
        <w:rFonts w:hint="default"/>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91"/>
    <w:rsid w:val="0015249D"/>
    <w:rsid w:val="0015328C"/>
    <w:rsid w:val="001A4E98"/>
    <w:rsid w:val="003613A7"/>
    <w:rsid w:val="0049039B"/>
    <w:rsid w:val="004A171F"/>
    <w:rsid w:val="004A388C"/>
    <w:rsid w:val="007908CA"/>
    <w:rsid w:val="007A1E5D"/>
    <w:rsid w:val="00824EED"/>
    <w:rsid w:val="00922AEE"/>
    <w:rsid w:val="00A60759"/>
    <w:rsid w:val="00B24267"/>
    <w:rsid w:val="00B42D22"/>
    <w:rsid w:val="00B65C9E"/>
    <w:rsid w:val="00B7217E"/>
    <w:rsid w:val="00B72EDC"/>
    <w:rsid w:val="00B917B4"/>
    <w:rsid w:val="00C310CB"/>
    <w:rsid w:val="00C40C0E"/>
    <w:rsid w:val="00DF7591"/>
    <w:rsid w:val="00E12FEA"/>
    <w:rsid w:val="00F36957"/>
    <w:rsid w:val="00FB149E"/>
    <w:rsid w:val="00FC42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74DB"/>
  <w15:chartTrackingRefBased/>
  <w15:docId w15:val="{1A6E5DC3-B13D-4620-A7AF-9B96EDA8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FEA"/>
    <w:pPr>
      <w:ind w:leftChars="400" w:left="800"/>
    </w:pPr>
  </w:style>
  <w:style w:type="paragraph" w:customStyle="1" w:styleId="Default">
    <w:name w:val="Default"/>
    <w:rsid w:val="003613A7"/>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table" w:styleId="a4">
    <w:name w:val="Table Grid"/>
    <w:basedOn w:val="a1"/>
    <w:uiPriority w:val="39"/>
    <w:rsid w:val="00B65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15249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1524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623</Words>
  <Characters>3555</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KRX</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Krx</dc:creator>
  <cp:keywords/>
  <dc:description/>
  <cp:lastModifiedBy>user</cp:lastModifiedBy>
  <cp:revision>4</cp:revision>
  <cp:lastPrinted>2018-08-22T02:01:00Z</cp:lastPrinted>
  <dcterms:created xsi:type="dcterms:W3CDTF">2018-08-22T05:09:00Z</dcterms:created>
  <dcterms:modified xsi:type="dcterms:W3CDTF">2018-09-19T01:05:00Z</dcterms:modified>
</cp:coreProperties>
</file>